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4"/>
        </w:numPr>
        <w:spacing w:after="0" w:before="240" w:line="259" w:lineRule="auto"/>
        <w:ind w:left="1080" w:hanging="360"/>
        <w:rPr>
          <w:rFonts w:ascii="Calibri" w:cs="Calibri" w:eastAsia="Calibri" w:hAnsi="Calibri"/>
          <w:color w:val="2f5496"/>
          <w:sz w:val="32"/>
          <w:szCs w:val="32"/>
        </w:rPr>
      </w:pPr>
      <w:bookmarkStart w:colFirst="0" w:colLast="0" w:name="_3rdcrjn" w:id="0"/>
      <w:bookmarkEnd w:id="0"/>
      <w:r w:rsidDel="00000000" w:rsidR="00000000" w:rsidRPr="00000000">
        <w:rPr>
          <w:rFonts w:ascii="Calibri" w:cs="Calibri" w:eastAsia="Calibri" w:hAnsi="Calibri"/>
          <w:color w:val="2f5496"/>
          <w:sz w:val="32"/>
          <w:szCs w:val="32"/>
          <w:rtl w:val="0"/>
        </w:rPr>
        <w:t xml:space="preserve">Literatuurlijst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numPr>
          <w:ilvl w:val="1"/>
          <w:numId w:val="4"/>
        </w:numPr>
        <w:spacing w:after="0" w:before="40" w:line="259" w:lineRule="auto"/>
        <w:ind w:left="1800" w:hanging="360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26in1rg" w:id="1"/>
      <w:bookmarkEnd w:id="1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Hoe kunnen we eenzaamheid herkennen bij leerlingen van de tweede graad?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59" w:lineRule="auto"/>
        <w:ind w:left="1068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Kernerman Dictionaries. (z.d.). Eenzaamheid. Geraadpleegd op 3 april 2020, van </w:t>
      </w:r>
      <w:hyperlink r:id="rId6">
        <w:r w:rsidDel="00000000" w:rsidR="00000000" w:rsidRPr="00000000">
          <w:rPr>
            <w:rFonts w:ascii="Calibri" w:cs="Calibri" w:eastAsia="Calibri" w:hAnsi="Calibri"/>
            <w:u w:val="single"/>
            <w:rtl w:val="0"/>
          </w:rPr>
          <w:t xml:space="preserve">https://www.woorden.org/woord/eenzaamheid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59" w:lineRule="auto"/>
        <w:ind w:left="1068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Ministerie van Volksgezondheid, Welzijn en Sport. (2019, 24 april). Oorzaken van eenzaamheid. Geraadpleegd op 6 april 2020, van </w:t>
      </w:r>
      <w:hyperlink r:id="rId7">
        <w:r w:rsidDel="00000000" w:rsidR="00000000" w:rsidRPr="00000000">
          <w:rPr>
            <w:rFonts w:ascii="Calibri" w:cs="Calibri" w:eastAsia="Calibri" w:hAnsi="Calibri"/>
            <w:u w:val="single"/>
            <w:rtl w:val="0"/>
          </w:rPr>
          <w:t xml:space="preserve">https://www.eenzaam.nl/over-eenzaamheid/oorzaken-van-eenzaamheid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59" w:lineRule="auto"/>
        <w:ind w:left="1068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Rijks, J. (z.d.-a). Eenzaamheid Informatie Centrum - Eenzaamheid. Geraadpleegd op 3 april 2020, van </w:t>
      </w:r>
      <w:hyperlink r:id="rId8">
        <w:r w:rsidDel="00000000" w:rsidR="00000000" w:rsidRPr="00000000">
          <w:rPr>
            <w:rFonts w:ascii="Calibri" w:cs="Calibri" w:eastAsia="Calibri" w:hAnsi="Calibri"/>
            <w:u w:val="single"/>
            <w:rtl w:val="0"/>
          </w:rPr>
          <w:t xml:space="preserve">https://www.eenzaamheid.info/eenzaamheid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160" w:line="259" w:lineRule="auto"/>
        <w:ind w:left="1068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Rijks, J. (z.d.-b). Eenzaamheid Informatie Centrum - Signalen van eenzaamheid. Geraadpleegd op 6 april 2020, van </w:t>
      </w:r>
      <w:hyperlink r:id="rId9">
        <w:r w:rsidDel="00000000" w:rsidR="00000000" w:rsidRPr="00000000">
          <w:rPr>
            <w:rFonts w:ascii="Calibri" w:cs="Calibri" w:eastAsia="Calibri" w:hAnsi="Calibri"/>
            <w:u w:val="single"/>
            <w:rtl w:val="0"/>
          </w:rPr>
          <w:t xml:space="preserve">https://eenzaamheid.info/signaleren-van-eenzaamheid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numPr>
          <w:ilvl w:val="1"/>
          <w:numId w:val="4"/>
        </w:numPr>
        <w:spacing w:after="0" w:before="40" w:line="259" w:lineRule="auto"/>
        <w:ind w:left="1800" w:hanging="360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lnxbz9" w:id="2"/>
      <w:bookmarkEnd w:id="2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Wat zijn de gevolgen van eenzaamheid bij leerlingen van de tweede graad?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before="45" w:line="240" w:lineRule="auto"/>
        <w:ind w:left="1068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Beuningen, J. van, Coumans, M., Moonen, L. (2018). Het meten van eenzaamheid. CBS publicatie, september 2018.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line="240" w:lineRule="auto"/>
        <w:ind w:left="1068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Goossens, L. (2009). Eenzaamheid.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Psychosociale problemen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, 37–52. </w:t>
      </w:r>
      <w:hyperlink r:id="rId10">
        <w:r w:rsidDel="00000000" w:rsidR="00000000" w:rsidRPr="00000000">
          <w:rPr>
            <w:rFonts w:ascii="Calibri" w:cs="Calibri" w:eastAsia="Calibri" w:hAnsi="Calibri"/>
            <w:highlight w:val="white"/>
            <w:u w:val="single"/>
            <w:rtl w:val="0"/>
          </w:rPr>
          <w:t xml:space="preserve">https://doi.org/10.1007/978-90-313-8041-1_4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line="240" w:lineRule="auto"/>
        <w:ind w:left="1068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Goossens, L. (2018). Loneliness in Adolescence: Insights From Cacioppo's Evolutionary Model, Child Development Perspectives, april 2018, p. 230-234.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line="240" w:lineRule="auto"/>
        <w:ind w:left="1068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Lodder, G. M. A., Goossens, L., Scholte, R. H. J., Engels, R. C. M. E., &amp; Verhagen, M. (2016). Adolescent Loneliness and Social Skills: Agreement and Discrepancies Between Self-, Meta-, and Peer-Evaluations.Journal of Youth and Adolescence, 45(12), 2406-2416.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line="240" w:lineRule="auto"/>
        <w:ind w:left="1068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https://nos.nl/artikel/2260105-kamer-wil-actie-tegen-eenzaamheid-jongeren-net-als-bij-ouderen.html (Laatst geraadpleegd op 23 november 2018)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line="240" w:lineRule="auto"/>
        <w:ind w:left="1068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Elisabetta Crocetti, Susan Branje, Monica Rubini, Hans M. Koot and Wim Meeus, Identity Processes and Parent–Child and Sibling Relationships in Adolescence: A Five‐Wave Multi‐Informant Longitudinal Study, Child Development, 88, 1, (210-228), (2016). (Laatst geraadpleegd op 28 november 2018)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line="240" w:lineRule="auto"/>
        <w:ind w:left="1068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Perlman, D. &amp; Peplau, L.A. (1981). Toward a social psychology of loneliness. In R. Gilmour &amp; S. Duck (Eds.),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Personal relationships: 3. Relationships in disorder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(pp. 31–56). London: Academic Press.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line="240" w:lineRule="auto"/>
        <w:ind w:left="1068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Sapolsky, Robert (2017). Behave. The biology of humans at our best and worst. London: Vintage (Penguin books)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line="240" w:lineRule="auto"/>
        <w:ind w:left="1068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Verhagen, M., Lodder, G. M. A., &amp; Baumeister, R. F. (2018). Unmet belongingness needs but not high belongingness needs alone predict adverse well-being: A response surface modeling approach. Journal of Personality, 86(3), 498-507.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line="240" w:lineRule="auto"/>
        <w:ind w:left="1068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Goosby, B. J., Bellatorre, A., Walsemann, K. M., &amp; Cheadle, J. E. (2013). Adolescent Loneliness and Health in Early Adulthood.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Sociological Inquiry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83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(4), 505–536. </w:t>
      </w:r>
      <w:hyperlink r:id="rId11">
        <w:r w:rsidDel="00000000" w:rsidR="00000000" w:rsidRPr="00000000">
          <w:rPr>
            <w:rFonts w:ascii="Calibri" w:cs="Calibri" w:eastAsia="Calibri" w:hAnsi="Calibri"/>
            <w:sz w:val="24"/>
            <w:szCs w:val="24"/>
            <w:highlight w:val="white"/>
            <w:u w:val="single"/>
            <w:rtl w:val="0"/>
          </w:rPr>
          <w:t xml:space="preserve">https://doi.org/10.1111/soin.12018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line="240" w:lineRule="auto"/>
        <w:ind w:left="1068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Cigna. (2018 mei).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Cigna U.S. Loneliness Index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. Geraadpleegd op 1 april 2020, van </w:t>
      </w:r>
      <w:hyperlink r:id="rId12">
        <w:r w:rsidDel="00000000" w:rsidR="00000000" w:rsidRPr="00000000">
          <w:rPr>
            <w:rFonts w:ascii="Calibri" w:cs="Calibri" w:eastAsia="Calibri" w:hAnsi="Calibri"/>
            <w:sz w:val="24"/>
            <w:szCs w:val="24"/>
            <w:highlight w:val="white"/>
            <w:u w:val="single"/>
            <w:rtl w:val="0"/>
          </w:rPr>
          <w:t xml:space="preserve">https://www.multivu.com/players/English/8294451-cigna-us-loneliness-survey/docs/IndexReport_1524069371598-173525450.pdf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numPr>
          <w:ilvl w:val="1"/>
          <w:numId w:val="4"/>
        </w:numPr>
        <w:spacing w:after="0" w:before="40" w:line="259" w:lineRule="auto"/>
        <w:ind w:left="1800" w:hanging="360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35nkun2" w:id="3"/>
      <w:bookmarkEnd w:id="3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Hoe kunnen we eenzaamheid bestrijden bij leerlingen van de tweede graad?</w:t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1068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Perlman, D. &amp; Peplau, L.A. (1981). Toward a social psychology of loneliness. In R. Gilmour &amp; S. Duck (Eds.),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Personal relationships: 3. Relationships in disorder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(pp. 31–56). London: Academic Press.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1068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Výrost,  J.,Slaměník,  I.: Aplikovaná  sociální  psychologie  II. Praha: Grada Publishing, 2001. 260 p. ISBN 80-247-0042-5.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1068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  Beastess: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Osamělostaneb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Kolik  máte  přátel  na Facebooku.  Praha:  Grada  Publishing,  2016. 144  p.  ISBN  978-80-247-5478-9.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1068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Mahon, N. E., Yarcheski, A., Yarcheski, T. J., Cannella, B. L., &amp; Hanks, M. M. (2006). A Meta-analytic Study of Predictors for Loneliness During Adolescence.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Nursing Research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55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(5), 308–315. </w:t>
      </w:r>
      <w:hyperlink r:id="rId13">
        <w:r w:rsidDel="00000000" w:rsidR="00000000" w:rsidRPr="00000000">
          <w:rPr>
            <w:rFonts w:ascii="Calibri" w:cs="Calibri" w:eastAsia="Calibri" w:hAnsi="Calibri"/>
            <w:u w:val="single"/>
            <w:rtl w:val="0"/>
          </w:rPr>
          <w:t xml:space="preserve">https://doi.org/10.1097/00006199-200609000-00003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59" w:lineRule="auto"/>
        <w:ind w:left="1068" w:hanging="36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Goossens, L. (2009). Eenzaamheid.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Psychosociale problemen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, 37–52. </w:t>
      </w:r>
      <w:hyperlink r:id="rId14">
        <w:r w:rsidDel="00000000" w:rsidR="00000000" w:rsidRPr="00000000">
          <w:rPr>
            <w:rFonts w:ascii="Calibri" w:cs="Calibri" w:eastAsia="Calibri" w:hAnsi="Calibri"/>
            <w:highlight w:val="white"/>
            <w:u w:val="single"/>
            <w:rtl w:val="0"/>
          </w:rPr>
          <w:t xml:space="preserve">https://doi.org/10.1007/978-90-313-8041-1_4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1068" w:hanging="36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Rasing, S., Stikkelbroek, Y., &amp; Creemers, D. (2018). Depressieve adolescenten, een zorg op zich.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GZ - Psychologie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(6), 16–21. </w:t>
      </w:r>
      <w:hyperlink r:id="rId15">
        <w:r w:rsidDel="00000000" w:rsidR="00000000" w:rsidRPr="00000000">
          <w:rPr>
            <w:rFonts w:ascii="Calibri" w:cs="Calibri" w:eastAsia="Calibri" w:hAnsi="Calibri"/>
            <w:highlight w:val="white"/>
            <w:u w:val="single"/>
            <w:rtl w:val="0"/>
          </w:rPr>
          <w:t xml:space="preserve">https://doi.org/10.1007/s41480-018-0166-9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1068" w:hanging="36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Hetrick, S. E., Cox, G. R., Witt, K. G., Bir, J. J., &amp; Merry, S. N. (2016). Cognitive behavioural therapy (CBT), third-wave CBT and interpersonal therapy (IPT) based interventions for preventing depression in children and adolescents.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Cochrane Database of Systematic Reviews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. </w:t>
      </w:r>
      <w:hyperlink r:id="rId16">
        <w:r w:rsidDel="00000000" w:rsidR="00000000" w:rsidRPr="00000000">
          <w:rPr>
            <w:rFonts w:ascii="Calibri" w:cs="Calibri" w:eastAsia="Calibri" w:hAnsi="Calibri"/>
            <w:highlight w:val="white"/>
            <w:u w:val="single"/>
            <w:rtl w:val="0"/>
          </w:rPr>
          <w:t xml:space="preserve">https://doi.org/10.1002/14651858.cd003380.pub4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1068" w:hanging="360"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VindeenTherapeut.be. (z.d.).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Cognitieve gedragstherapie | VindeenTherapeut.be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. Geraadpleegd op 1 april 2020, van </w:t>
      </w:r>
      <w:hyperlink r:id="rId17">
        <w:r w:rsidDel="00000000" w:rsidR="00000000" w:rsidRPr="00000000">
          <w:rPr>
            <w:rFonts w:ascii="Calibri" w:cs="Calibri" w:eastAsia="Calibri" w:hAnsi="Calibri"/>
            <w:highlight w:val="white"/>
            <w:u w:val="single"/>
            <w:rtl w:val="0"/>
          </w:rPr>
          <w:t xml:space="preserve">https://www.vindeentherapeut.be/therapie/cognitieve-gedragstherapie.html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59" w:lineRule="auto"/>
        <w:ind w:left="1068" w:hanging="36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van der Molen, H. T. (2009). Verlegenheid.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Psychosociale problemen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, 20–36. </w:t>
      </w:r>
      <w:hyperlink r:id="rId18">
        <w:r w:rsidDel="00000000" w:rsidR="00000000" w:rsidRPr="00000000">
          <w:rPr>
            <w:rFonts w:ascii="Calibri" w:cs="Calibri" w:eastAsia="Calibri" w:hAnsi="Calibri"/>
            <w:highlight w:val="white"/>
            <w:u w:val="single"/>
            <w:rtl w:val="0"/>
          </w:rPr>
          <w:t xml:space="preserve">https://doi.org/10.1007/978-90-313-8041-1_3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1068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Maeght, C. (2020, 11 maart).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“Een warm zorgbeleid is nooit af”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Geraadpleegd op 20 maart 2020, van </w:t>
      </w:r>
      <w:hyperlink r:id="rId19">
        <w:r w:rsidDel="00000000" w:rsidR="00000000" w:rsidRPr="00000000">
          <w:rPr>
            <w:rFonts w:ascii="Calibri" w:cs="Calibri" w:eastAsia="Calibri" w:hAnsi="Calibri"/>
            <w:u w:val="single"/>
            <w:rtl w:val="0"/>
          </w:rPr>
          <w:t xml:space="preserve">https://www.klasse.be/156770/een-warm-zorgbeleid/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1068" w:hanging="360"/>
        <w:rPr/>
      </w:pP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Ambts- en beroepsgeheim in onderwijs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. (z.d.). Geraadpleegd op 23 maart 2020, van </w:t>
      </w:r>
      <w:hyperlink r:id="rId20">
        <w:r w:rsidDel="00000000" w:rsidR="00000000" w:rsidRPr="00000000">
          <w:rPr>
            <w:rFonts w:ascii="Calibri" w:cs="Calibri" w:eastAsia="Calibri" w:hAnsi="Calibri"/>
            <w:highlight w:val="white"/>
            <w:u w:val="single"/>
            <w:rtl w:val="0"/>
          </w:rPr>
          <w:t xml:space="preserve">https://onderwijs.vlaanderen.be/nl/ambtsgeheim-en-beroepsgeheim-in-onderwijs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59" w:lineRule="auto"/>
        <w:ind w:left="1068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Develtere, L. (2018, 26 september).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Veel jongeren worstelen met eenzaamheid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Geraadpleegd op 20 maart 2020, van </w:t>
      </w:r>
      <w:hyperlink r:id="rId21">
        <w:r w:rsidDel="00000000" w:rsidR="00000000" w:rsidRPr="00000000">
          <w:rPr>
            <w:rFonts w:ascii="Calibri" w:cs="Calibri" w:eastAsia="Calibri" w:hAnsi="Calibri"/>
            <w:u w:val="single"/>
            <w:rtl w:val="0"/>
          </w:rPr>
          <w:t xml:space="preserve">https://sociaal.net/verhaal/veel-jongeren-worstelen-met-eenzaamheid/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1068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Onderwijs Vlaanderen. (z.d.). Centrum voor leerlingenbegeleiding (CLB) - voor ouders. Geraadpleegd op 6 april 2020, van </w:t>
      </w:r>
      <w:hyperlink r:id="rId22">
        <w:r w:rsidDel="00000000" w:rsidR="00000000" w:rsidRPr="00000000">
          <w:rPr>
            <w:rFonts w:ascii="Calibri" w:cs="Calibri" w:eastAsia="Calibri" w:hAnsi="Calibri"/>
            <w:u w:val="single"/>
            <w:rtl w:val="0"/>
          </w:rPr>
          <w:t xml:space="preserve">https://onderwijs.vlaanderen.be/nl/clb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1068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CAW. (z.d.).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Over het JAC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Geraadpleegd op 27 maart 2020, van </w:t>
      </w:r>
      <w:hyperlink r:id="rId23">
        <w:r w:rsidDel="00000000" w:rsidR="00000000" w:rsidRPr="00000000">
          <w:rPr>
            <w:rFonts w:ascii="Calibri" w:cs="Calibri" w:eastAsia="Calibri" w:hAnsi="Calibri"/>
            <w:u w:val="single"/>
            <w:rtl w:val="0"/>
          </w:rPr>
          <w:t xml:space="preserve">https://www.caw.be/jac/over-het-jac/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160" w:line="259" w:lineRule="auto"/>
        <w:ind w:left="1068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Overwin eenzaamheid | OverKop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. (2020, 21 maart). Geraadpleegd op 23 maart 2020, van </w:t>
      </w:r>
      <w:hyperlink r:id="rId24">
        <w:r w:rsidDel="00000000" w:rsidR="00000000" w:rsidRPr="00000000">
          <w:rPr>
            <w:rFonts w:ascii="Calibri" w:cs="Calibri" w:eastAsia="Calibri" w:hAnsi="Calibri"/>
            <w:highlight w:val="white"/>
            <w:u w:val="single"/>
            <w:rtl w:val="0"/>
          </w:rPr>
          <w:t xml:space="preserve">https://overkop.be/thema/relaties/overwin-eenzaamheid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28" w:hanging="360"/>
      </w:pPr>
      <w:rPr/>
    </w:lvl>
    <w:lvl w:ilvl="2">
      <w:start w:val="1"/>
      <w:numFmt w:val="lowerRoman"/>
      <w:lvlText w:val="%3."/>
      <w:lvlJc w:val="right"/>
      <w:pPr>
        <w:ind w:left="2148" w:hanging="180"/>
      </w:pPr>
      <w:rPr/>
    </w:lvl>
    <w:lvl w:ilvl="3">
      <w:start w:val="1"/>
      <w:numFmt w:val="decimal"/>
      <w:lvlText w:val="%4."/>
      <w:lvlJc w:val="left"/>
      <w:pPr>
        <w:ind w:left="2868" w:hanging="360"/>
      </w:pPr>
      <w:rPr/>
    </w:lvl>
    <w:lvl w:ilvl="4">
      <w:start w:val="1"/>
      <w:numFmt w:val="lowerLetter"/>
      <w:lvlText w:val="%5."/>
      <w:lvlJc w:val="left"/>
      <w:pPr>
        <w:ind w:left="3588" w:hanging="360"/>
      </w:pPr>
      <w:rPr/>
    </w:lvl>
    <w:lvl w:ilvl="5">
      <w:start w:val="1"/>
      <w:numFmt w:val="lowerRoman"/>
      <w:lvlText w:val="%6."/>
      <w:lvlJc w:val="right"/>
      <w:pPr>
        <w:ind w:left="4308" w:hanging="180"/>
      </w:pPr>
      <w:rPr/>
    </w:lvl>
    <w:lvl w:ilvl="6">
      <w:start w:val="1"/>
      <w:numFmt w:val="decimal"/>
      <w:lvlText w:val="%7."/>
      <w:lvlJc w:val="left"/>
      <w:pPr>
        <w:ind w:left="5028" w:hanging="360"/>
      </w:pPr>
      <w:rPr/>
    </w:lvl>
    <w:lvl w:ilvl="7">
      <w:start w:val="1"/>
      <w:numFmt w:val="lowerLetter"/>
      <w:lvlText w:val="%8."/>
      <w:lvlJc w:val="left"/>
      <w:pPr>
        <w:ind w:left="5748" w:hanging="360"/>
      </w:pPr>
      <w:rPr/>
    </w:lvl>
    <w:lvl w:ilvl="8">
      <w:start w:val="1"/>
      <w:numFmt w:val="lowerRoman"/>
      <w:lvlText w:val="%9."/>
      <w:lvlJc w:val="right"/>
      <w:pPr>
        <w:ind w:left="6468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28" w:hanging="360"/>
      </w:pPr>
      <w:rPr/>
    </w:lvl>
    <w:lvl w:ilvl="2">
      <w:start w:val="1"/>
      <w:numFmt w:val="lowerRoman"/>
      <w:lvlText w:val="%3."/>
      <w:lvlJc w:val="right"/>
      <w:pPr>
        <w:ind w:left="2148" w:hanging="180"/>
      </w:pPr>
      <w:rPr/>
    </w:lvl>
    <w:lvl w:ilvl="3">
      <w:start w:val="1"/>
      <w:numFmt w:val="decimal"/>
      <w:lvlText w:val="%4."/>
      <w:lvlJc w:val="left"/>
      <w:pPr>
        <w:ind w:left="2868" w:hanging="360"/>
      </w:pPr>
      <w:rPr/>
    </w:lvl>
    <w:lvl w:ilvl="4">
      <w:start w:val="1"/>
      <w:numFmt w:val="lowerLetter"/>
      <w:lvlText w:val="%5."/>
      <w:lvlJc w:val="left"/>
      <w:pPr>
        <w:ind w:left="3588" w:hanging="360"/>
      </w:pPr>
      <w:rPr/>
    </w:lvl>
    <w:lvl w:ilvl="5">
      <w:start w:val="1"/>
      <w:numFmt w:val="lowerRoman"/>
      <w:lvlText w:val="%6."/>
      <w:lvlJc w:val="right"/>
      <w:pPr>
        <w:ind w:left="4308" w:hanging="180"/>
      </w:pPr>
      <w:rPr/>
    </w:lvl>
    <w:lvl w:ilvl="6">
      <w:start w:val="1"/>
      <w:numFmt w:val="decimal"/>
      <w:lvlText w:val="%7."/>
      <w:lvlJc w:val="left"/>
      <w:pPr>
        <w:ind w:left="5028" w:hanging="360"/>
      </w:pPr>
      <w:rPr/>
    </w:lvl>
    <w:lvl w:ilvl="7">
      <w:start w:val="1"/>
      <w:numFmt w:val="lowerLetter"/>
      <w:lvlText w:val="%8."/>
      <w:lvlJc w:val="left"/>
      <w:pPr>
        <w:ind w:left="5748" w:hanging="360"/>
      </w:pPr>
      <w:rPr/>
    </w:lvl>
    <w:lvl w:ilvl="8">
      <w:start w:val="1"/>
      <w:numFmt w:val="lowerRoman"/>
      <w:lvlText w:val="%9."/>
      <w:lvlJc w:val="right"/>
      <w:pPr>
        <w:ind w:left="6468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28" w:hanging="360"/>
      </w:pPr>
      <w:rPr/>
    </w:lvl>
    <w:lvl w:ilvl="2">
      <w:start w:val="1"/>
      <w:numFmt w:val="lowerRoman"/>
      <w:lvlText w:val="%3."/>
      <w:lvlJc w:val="right"/>
      <w:pPr>
        <w:ind w:left="2148" w:hanging="180"/>
      </w:pPr>
      <w:rPr/>
    </w:lvl>
    <w:lvl w:ilvl="3">
      <w:start w:val="1"/>
      <w:numFmt w:val="decimal"/>
      <w:lvlText w:val="%4."/>
      <w:lvlJc w:val="left"/>
      <w:pPr>
        <w:ind w:left="2868" w:hanging="360"/>
      </w:pPr>
      <w:rPr/>
    </w:lvl>
    <w:lvl w:ilvl="4">
      <w:start w:val="1"/>
      <w:numFmt w:val="lowerLetter"/>
      <w:lvlText w:val="%5."/>
      <w:lvlJc w:val="left"/>
      <w:pPr>
        <w:ind w:left="3588" w:hanging="360"/>
      </w:pPr>
      <w:rPr/>
    </w:lvl>
    <w:lvl w:ilvl="5">
      <w:start w:val="1"/>
      <w:numFmt w:val="lowerRoman"/>
      <w:lvlText w:val="%6."/>
      <w:lvlJc w:val="right"/>
      <w:pPr>
        <w:ind w:left="4308" w:hanging="180"/>
      </w:pPr>
      <w:rPr/>
    </w:lvl>
    <w:lvl w:ilvl="6">
      <w:start w:val="1"/>
      <w:numFmt w:val="decimal"/>
      <w:lvlText w:val="%7."/>
      <w:lvlJc w:val="left"/>
      <w:pPr>
        <w:ind w:left="5028" w:hanging="360"/>
      </w:pPr>
      <w:rPr/>
    </w:lvl>
    <w:lvl w:ilvl="7">
      <w:start w:val="1"/>
      <w:numFmt w:val="lowerLetter"/>
      <w:lvlText w:val="%8."/>
      <w:lvlJc w:val="left"/>
      <w:pPr>
        <w:ind w:left="5748" w:hanging="360"/>
      </w:pPr>
      <w:rPr/>
    </w:lvl>
    <w:lvl w:ilvl="8">
      <w:start w:val="1"/>
      <w:numFmt w:val="lowerRoman"/>
      <w:lvlText w:val="%9."/>
      <w:lvlJc w:val="right"/>
      <w:pPr>
        <w:ind w:left="6468" w:hanging="180"/>
      </w:pPr>
      <w:rPr/>
    </w:lvl>
  </w:abstractNum>
  <w:abstractNum w:abstractNumId="4">
    <w:lvl w:ilvl="0">
      <w:start w:val="5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onderwijs.vlaanderen.be/nl/ambtsgeheim-en-beroepsgeheim-in-onderwijs" TargetMode="External"/><Relationship Id="rId11" Type="http://schemas.openxmlformats.org/officeDocument/2006/relationships/hyperlink" Target="https://doi.org/10.1111/soin.12018" TargetMode="External"/><Relationship Id="rId22" Type="http://schemas.openxmlformats.org/officeDocument/2006/relationships/hyperlink" Target="https://onderwijs.vlaanderen.be/nl/clb" TargetMode="External"/><Relationship Id="rId10" Type="http://schemas.openxmlformats.org/officeDocument/2006/relationships/hyperlink" Target="https://doi.org/10.1007/978-90-313-8041-1_4" TargetMode="External"/><Relationship Id="rId21" Type="http://schemas.openxmlformats.org/officeDocument/2006/relationships/hyperlink" Target="https://sociaal.net/verhaal/veel-jongeren-worstelen-met-eenzaamheid/" TargetMode="External"/><Relationship Id="rId13" Type="http://schemas.openxmlformats.org/officeDocument/2006/relationships/hyperlink" Target="https://doi.org/10.1097/00006199-200609000-00003" TargetMode="External"/><Relationship Id="rId24" Type="http://schemas.openxmlformats.org/officeDocument/2006/relationships/hyperlink" Target="https://overkop.be/thema/relaties/overwin-eenzaamheid" TargetMode="External"/><Relationship Id="rId12" Type="http://schemas.openxmlformats.org/officeDocument/2006/relationships/hyperlink" Target="https://www.multivu.com/players/English/8294451-cigna-us-loneliness-survey/docs/IndexReport_1524069371598-173525450.pdf" TargetMode="External"/><Relationship Id="rId23" Type="http://schemas.openxmlformats.org/officeDocument/2006/relationships/hyperlink" Target="https://www.caw.be/jac/over-het-jac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enzaamheid.info/signaleren-van-eenzaamheid" TargetMode="External"/><Relationship Id="rId15" Type="http://schemas.openxmlformats.org/officeDocument/2006/relationships/hyperlink" Target="https://doi.org/10.1007/s41480-018-0166-9" TargetMode="External"/><Relationship Id="rId14" Type="http://schemas.openxmlformats.org/officeDocument/2006/relationships/hyperlink" Target="https://doi.org/10.1007/978-90-313-8041-1_4" TargetMode="External"/><Relationship Id="rId17" Type="http://schemas.openxmlformats.org/officeDocument/2006/relationships/hyperlink" Target="https://www.vindeentherapeut.be/therapie/cognitieve-gedragstherapie.html" TargetMode="External"/><Relationship Id="rId16" Type="http://schemas.openxmlformats.org/officeDocument/2006/relationships/hyperlink" Target="https://doi.org/10.1002/14651858.cd003380.pub4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klasse.be/156770/een-warm-zorgbeleid/" TargetMode="External"/><Relationship Id="rId6" Type="http://schemas.openxmlformats.org/officeDocument/2006/relationships/hyperlink" Target="https://www.woorden.org/woord/eenzaamheid" TargetMode="External"/><Relationship Id="rId18" Type="http://schemas.openxmlformats.org/officeDocument/2006/relationships/hyperlink" Target="https://doi.org/10.1007/978-90-313-8041-1_3" TargetMode="External"/><Relationship Id="rId7" Type="http://schemas.openxmlformats.org/officeDocument/2006/relationships/hyperlink" Target="https://www.eenzaam.nl/over-eenzaamheid/oorzaken-van-eenzaamheid" TargetMode="External"/><Relationship Id="rId8" Type="http://schemas.openxmlformats.org/officeDocument/2006/relationships/hyperlink" Target="https://www.eenzaamheid.info/eenzaamhe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